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1.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January</w:t>
      </w:r>
      <w:r>
        <w:t xml:space="preserve"> </w:t>
      </w:r>
      <w:r>
        <w:t xml:space="preserve">11,</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landing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have</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Highlights: These are the highlights.</w:t>
      </w:r>
    </w:p>
    <w:tbl>
      <w:tblPr>
        <w:tblStyle w:val="Table"/>
        <w:tblW w:type="pct" w:w="5000"/>
        <w:tblLook w:firstRow="0" w:lastRow="0" w:firstColumn="0" w:lastColumn="0" w:noHBand="0" w:noVBand="0" w:val="0000"/>
        <w:jc w:val="start"/>
        <w:tblLayout w:type="fixed"/>
      </w:tblPr>
      <w:tblGrid>
        <w:gridCol w:w="7920"/>
      </w:tblGrid>
      <w:tr>
        <w:tc>
          <w:tcPr/>
          <w:bookmarkStart w:id="24" w:name="fig-show-basic-plots"/>
          <w:p>
            <w:pPr>
              <w:pStyle w:val="Compact"/>
              <w:jc w:val="center"/>
            </w:pPr>
            <w:r>
              <w:drawing>
                <wp:inline>
                  <wp:extent cx="5943600" cy="4245428"/>
                  <wp:effectExtent b="0" l="0" r="0" t="0"/>
                  <wp:docPr descr="" title="" id="22" name="Picture"/>
                  <a:graphic>
                    <a:graphicData uri="http://schemas.openxmlformats.org/drawingml/2006/picture">
                      <pic:pic>
                        <pic:nvPicPr>
                          <pic:cNvPr descr="../figures/fig-panel-per-year.png" id="23" name="Picture"/>
                          <pic:cNvPicPr>
                            <a:picLocks noChangeArrowheads="1" noChangeAspect="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4"/>
        </w:tc>
      </w:tr>
    </w:tbl>
    <w:bookmarkStart w:id="25" w:name="introduction"/>
    <w:p>
      <w:pPr>
        <w:pStyle w:val="Heading1"/>
      </w:pPr>
      <w:r>
        <w:t xml:space="preserve">Introduction</w:t>
      </w:r>
    </w:p>
    <w:p>
      <w:pPr>
        <w:pStyle w:val="FirstParagraph"/>
      </w:pPr>
      <w:r>
        <w:t xml:space="preserve">Attend any workshop, conference, or panel that includes early career researchers and the conversation will be steered inexorably towards the academic job market: who is hiring, who has attained a tenure-track position, and who is out of luck this season. This obsessive focus on career trajectories is warranted, particularly within the discipline of anthropology. As of 2019, 53.5% of colleges and universities had replaced tenure-eligible lines with contingent positions (</w:t>
      </w:r>
      <w:r>
        <w:rPr>
          <w:bCs/>
          <w:b/>
        </w:rPr>
        <w:t xml:space="preserve">AAUP 2022</w:t>
      </w:r>
      <w:r>
        <w:t xml:space="preserve">); today, 71% of faculty in the US are non-tenure-track(</w:t>
      </w:r>
      <w:r>
        <w:rPr>
          <w:bCs/>
          <w:b/>
        </w:rPr>
        <w:t xml:space="preserve">Culver and Kezar 2022</w:t>
      </w:r>
      <w:r>
        <w:rPr>
          <w:iCs/>
          <w:i/>
        </w:rPr>
        <w:t xml:space="preserve">).</w:t>
      </w:r>
      <w:r>
        <w:t xml:space="preserve"> </w:t>
      </w:r>
      <w:r>
        <w:t xml:space="preserve">The erosion of permanent jobs in American higher education is linked to a complex intersection of political and economic factors (</w:t>
      </w:r>
      <w:r>
        <w:rPr>
          <w:bCs/>
          <w:b/>
        </w:rPr>
        <w:t xml:space="preserve">Beck, under review</w:t>
      </w:r>
      <w:r>
        <w:t xml:space="preserve">), including decreasing federal support for higher education, concomitant increases in student debt (</w:t>
      </w:r>
      <w:r>
        <w:rPr>
          <w:bCs/>
          <w:b/>
        </w:rPr>
        <w:t xml:space="preserve">Gusterson 2017</w:t>
      </w:r>
      <w:r>
        <w:t xml:space="preserve">), a pronounced shift in university investment from faculty to administration (</w:t>
      </w:r>
      <w:r>
        <w:rPr>
          <w:bCs/>
          <w:b/>
        </w:rPr>
        <w:t xml:space="preserve">Graeber 2018: 162–163</w:t>
      </w:r>
      <w:r>
        <w:t xml:space="preserve">), and the growing privatization and market orientation of scientific research (</w:t>
      </w:r>
      <w:r>
        <w:rPr>
          <w:bCs/>
          <w:b/>
        </w:rP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w:t>
      </w:r>
      <w:r>
        <w:rPr>
          <w:bCs/>
          <w:b/>
        </w:rPr>
        <w:t xml:space="preserve">1992: 66</w:t>
      </w:r>
      <w:r>
        <w:t xml:space="preserve">).</w:t>
      </w:r>
    </w:p>
    <w:p>
      <w:pPr>
        <w:pStyle w:val="BodyText"/>
      </w:pPr>
      <w:r>
        <w:t xml:space="preserve">These higher demands include increased overall productivity, higher mobility, sometimes requiring bothnational and international moves, more time spent in precarious short-term contracts, and the investment of a greater proportion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 (</w:t>
      </w:r>
      <w:r>
        <w:rPr>
          <w:bCs/>
          <w:b/>
        </w:rPr>
        <w:t xml:space="preserve">2023: 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w:t>
      </w:r>
      <w:r>
        <w:rPr>
          <w:bCs/>
          <w:b/>
        </w:rPr>
        <w:t xml:space="preserve">2023: 239</w:t>
      </w:r>
      <w:r>
        <w:t xml:space="preserve">). Ribeiro and Giamakis emphasize that this demographic comprises an academic precariat that is essential to the functioning of universities, but consists of a workforce on short-term contracts perpetually</w:t>
      </w:r>
      <w:r>
        <w:t xml:space="preserve"> </w:t>
      </w:r>
      <w:r>
        <w:t xml:space="preserve">“</w:t>
      </w:r>
      <w:r>
        <w:t xml:space="preserve">stranded between employment and unemployment</w:t>
      </w:r>
      <w:r>
        <w:t xml:space="preserve">”</w:t>
      </w:r>
      <w:r>
        <w:t xml:space="preserve"> </w:t>
      </w:r>
      <w:r>
        <w:t xml:space="preserve">(</w:t>
      </w:r>
      <w:r>
        <w:rPr>
          <w:bCs/>
          <w:b/>
        </w:rPr>
        <w:t xml:space="preserve">2023:10</w:t>
      </w:r>
      <w:r>
        <w:t xml:space="preserve">).</w:t>
      </w:r>
    </w:p>
    <w:p>
      <w:pPr>
        <w:pStyle w:val="BodyText"/>
      </w:pPr>
      <w:r>
        <w:t xml:space="preserve">Early career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w:t>
      </w:r>
      <w:r>
        <w:rPr>
          <w:bCs/>
          <w:b/>
        </w:rPr>
        <w:t xml:space="preserve">2022: 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online video interviews and teaching demonstrations. These courses often provide valuable training in the hidden curriculum of the academy, but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w:t>
      </w:r>
      <w:r>
        <w:rPr>
          <w:bCs/>
          <w:b/>
        </w:rPr>
        <w:t xml:space="preserve">1992: 71</w:t>
      </w:r>
      <w:r>
        <w:t xml:space="preserve">)</w:t>
      </w:r>
      <w:r>
        <w:t xml:space="preserve"> </w:t>
      </w:r>
      <w:r>
        <w:rPr>
          <w:bCs/>
          <w:b/>
        </w:rP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w:t>
      </w:r>
      <w:r>
        <w:rPr>
          <w:bCs/>
          <w:b/>
        </w:rPr>
        <w:t xml:space="preserve">Kawa 2019; Mackie and Rockwell 2023</w:t>
      </w:r>
      <w:r>
        <w:t xml:space="preserve">),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 (</w:t>
      </w:r>
      <w:r>
        <w:rPr>
          <w:bCs/>
          <w:b/>
        </w:rP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End w:id="25"/>
    <w:bookmarkStart w:id="26"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of their program and the discipline. Finding the right candidate for the position—or the right position for the candidate—is akin to finding a needle in a haystack.</w:t>
      </w:r>
    </w:p>
    <w:p>
      <w:pPr>
        <w:pStyle w:val="BodyText"/>
      </w:pPr>
      <w:r>
        <w:t xml:space="preserve">There is also a perception among many scholars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 (</w:t>
      </w:r>
      <w:r>
        <w:rPr>
          <w:bCs/>
          <w:b/>
        </w:rP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anthropology in the US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 (</w:t>
      </w:r>
      <w:r>
        <w:rPr>
          <w:bCs/>
          <w:b/>
        </w:rPr>
        <w:t xml:space="preserve">Earle and Delpo Kulow 2015</w:t>
      </w:r>
      <w:r>
        <w:t xml:space="preserve">). When combined with the institution of tenure in American academia, the ADEA exemption allowed [faculty to stay in their posts for as long as they liked] the median age for faculty in the U.S. now ranks among the highest for all professions (</w:t>
      </w:r>
      <w:r>
        <w:rPr>
          <w:bCs/>
          <w:b/>
        </w:rPr>
        <w:t xml:space="preserve">Citation</w:t>
      </w:r>
      <w:r>
        <w:t xml:space="preserve">). In tandem with the gradual de-investment in American higher education since the</w:t>
      </w:r>
      <w:r>
        <w:t xml:space="preserve"> </w:t>
      </w:r>
      <w:r>
        <w:rPr>
          <w:bCs/>
          <w:b/>
        </w:rPr>
        <w:t xml:space="preserve">XXX (Mirowski 2011</w:t>
      </w:r>
      <w:r>
        <w:t xml:space="preserve">) and the aftershocks of the 2008 recession, the ADEA exemption has cultivated an environment where new lines are few and far between. Among biological anthropologists,</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for example, there is one tenure-track position in the US for approximately every 6.3 PhD graduates</w:t>
      </w:r>
      <w:r>
        <w:t xml:space="preserve"> </w:t>
      </w:r>
      <w:r>
        <w:t xml:space="preserve">(Ghaffarzadegan et al., 2015)</w:t>
      </w:r>
      <w:r>
        <w:t xml:space="preserve">.</w:t>
      </w:r>
      <w:r>
        <w:t xml:space="preserve"> </w:t>
      </w:r>
      <w:r>
        <w:rPr>
          <w:bCs/>
          <w:b/>
        </w:rPr>
        <w:t xml:space="preserve">Citation of Larson et al. 2014</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Rising numbers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(Colby, 2022)</w:t>
      </w:r>
      <w:r>
        <w:t xml:space="preserve">. Contingent faculty positions are precarious because they provide low or no health and retirement benefits, little or nothing in the way of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they work at</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programmes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52.8 percent of tenured and tenure-track positions</w:t>
      </w:r>
      <w:r>
        <w:t xml:space="preserve"> </w:t>
      </w:r>
      <w:r>
        <w:t xml:space="preserve">(Kawa et al., 2019)</w:t>
      </w:r>
      <w:r>
        <w:t xml:space="preserve">. This network analysis showed that programs with large endowments and with faculty who hold prestigious awards and are widely cited by other scholars produce the majority of tenured and tenure-track faculty in anthropology. Hiring bias predicated on the prestige of specific institutions and programs is not unique to anthropology. Targeted studies of the disciplines of sociology, communication, and operations research, and industrial systems engineering show similar trends (</w:t>
      </w:r>
      <w:r>
        <w:rPr>
          <w:bCs/>
          <w:b/>
        </w:rPr>
        <w:t xml:space="preserve">Barnett et al., 2010; Castillo et al., 2018; Feeley and Tutzauer 2022; Nevin 2019</w:t>
      </w:r>
      <w:r>
        <w:t xml:space="preserve">).</w:t>
      </w:r>
      <w:r>
        <w:t xml:space="preserve"> </w:t>
      </w:r>
      <w:r>
        <w:rPr>
          <w:bCs/>
          <w:b/>
        </w:rPr>
        <w:t xml:space="preserve">Broader analyses comparing X, Y and Z, and analyses while a recent analysis of XXX showed Z (Clauset et al., 2015;</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biases towards prestigious institutions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within their discipline. In a comparison of job ads from 1999–2000 and 2019–2020 published in</w:t>
      </w:r>
      <w:r>
        <w:t xml:space="preserve"> </w:t>
      </w:r>
      <w:r>
        <w:rPr>
          <w:iCs/>
          <w:i/>
        </w:rPr>
        <w:t xml:space="preserve">Anthropology News</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w:t>
      </w:r>
      <w:r>
        <w:t xml:space="preserve"> </w:t>
      </w:r>
      <w:r>
        <w:t xml:space="preserve">,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inclusion. This requirement has been much-debated largely due to an experiment in 2016–2022 at several University of California campuses that used diversity statements as the first cut for selecting candidates for tenure-track faculty positions</w:t>
      </w:r>
      <w:r>
        <w:t xml:space="preserve"> </w:t>
      </w:r>
      <w:r>
        <w:t xml:space="preserve">(Soucek, 2021)</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p>
      <w:pPr>
        <w:pStyle w:val="BodyText"/>
      </w:pPr>
      <w:r>
        <w:rPr>
          <w:bCs/>
          <w:b/>
        </w:rPr>
        <w:t xml:space="preserve">While attention to equity in job market materials is commendable, work on hiring practices suggests ZZZ. For example, Warren 2019 has shown XXX. Rivera, in a study of hiring practices at YYY, has likewise demonstrated ZZZ. Somewhere in this section I want to discuss the results from sociology, specifically the Warren 2019 piece and the Rivera 2017 piece on hiring practices.</w:t>
      </w:r>
      <w:r>
        <w:t xml:space="preserve"> </w:t>
      </w:r>
    </w:p>
    <w:p>
      <w:pPr>
        <w:pStyle w:val="BodyText"/>
      </w:pPr>
      <w:r>
        <w:rPr>
          <w:bCs/>
          <w:b/>
        </w:rPr>
        <w:t xml:space="preserve">Cite Rogge 1976.</w:t>
      </w:r>
    </w:p>
    <w:bookmarkEnd w:id="26"/>
    <w:bookmarkStart w:id="27" w:name="methods"/>
    <w:p>
      <w:pPr>
        <w:pStyle w:val="Heading1"/>
      </w:pPr>
      <w:r>
        <w:t xml:space="preserve">Methods</w:t>
      </w:r>
    </w:p>
    <w:p>
      <w:pPr>
        <w:pStyle w:val="FirstParagraph"/>
      </w:pPr>
      <w:r>
        <w:t xml:space="preserve">Our primary data source is the Archaeology Academic Jobs Wiki</w:t>
      </w:r>
      <w:r>
        <w:t xml:space="preserve">.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w:t>
      </w:r>
      <w:r>
        <w:t xml:space="preserve"> </w:t>
      </w:r>
      <w:r>
        <w:t xml:space="preserve"> </w:t>
      </w:r>
      <w:r>
        <w:t xml:space="preserve">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(Musial and Holmes, 2018; e.g. Passalacqua,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methods foci on the position into a Google form. The topical focus is what we understood as the primary intellectual focus of the position—examples of topical foci included environmental archaeology, public archaeology, and North American archaeology. The geographic focus is the region of the world that the ideal candidate has scholarly expertise on, for example, Southwest US, Mediterranean, or Asia and India. The methods focus is the data-generating sub-field of archaeology that is mentioned in the ad. Examples of methods used in this study include archaeobotany, lithic analysis, or zooarchaeology.</w:t>
      </w:r>
      <w:r>
        <w:t xml:space="preserve"> </w:t>
      </w:r>
      <w:r>
        <w:t xml:space="preserve"> </w:t>
      </w:r>
      <w:r>
        <w:t xml:space="preserve">We also recorded the type and number of documents requested in each ad (e.g. cover letter, CV, statements on research, teaching, diversity</w:t>
      </w:r>
      <w:r>
        <w:t xml:space="preserve"> </w:t>
      </w:r>
      <w:r>
        <w:t xml:space="preserve">, syllabi, course descriptions, writing samples, transcripts) and how many names/letters of recommenders were requested in the ad, if any.</w:t>
      </w:r>
    </w:p>
    <w:p>
      <w:pPr>
        <w:pStyle w:val="BodyText"/>
      </w:pPr>
      <w:r>
        <w:t xml:space="preserve">After completing primary data collection, we studied the topical, geographic, and methods text of each ad and collaboratively and manually reduced the variation in the raw data into 10-15 categories appearing in 20 (for topics and geography) or 10 (for methods) or more job ads to simplify analysis and visualisation. This means that some topics, such as gender (mentioned in 6 ads) do not appear in our results because of their rarity in the job ads. Full details of the category reduction, showing the mapping between phrases in the job ads and our categories, are in our Supplementary Materials.</w:t>
      </w:r>
      <w:r>
        <w:t xml:space="preserve"> </w:t>
      </w:r>
      <w:r>
        <w:t xml:space="preserve"> </w:t>
      </w:r>
      <w:r>
        <w:t xml:space="preserve">Our final, reduced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we recorded digital archaeology we recorded as both a method (when a job ad had a clearly distinct topical focus, such as historic archaeology) and a topic (when there were no other topics mentioned in the job ad). While these categorical overlaps can make the data challenging to interpret, in our view this approach reflects the complex realities of how search committees express their needs in searching for new faculty. Acknowledgement of overlaps also produces new insights into hiring dynamics through revealing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r>
        <w:t xml:space="preserve">.</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 Only academic year 2013-2014 had more non-tenure-track positions than tenure-track positions</w:t>
      </w:r>
      <w:r>
        <w:t xml:space="preserve"> </w:t>
      </w:r>
      <w:r>
        <w:t xml:space="preserve">, which was followed by an upward trend peaking at 2018-2019 and then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suggesting that rates of hiring are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r>
        <w:t xml:space="preserve"> </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w:t>
      </w:r>
      <w:r>
        <w:t xml:space="preserve"> </w:t>
      </w:r>
      <w:r>
        <w:t xml:space="preserve">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w:t>
      </w:r>
      <w:r>
        <w:t xml:space="preserve"> </w:t>
      </w:r>
      <w:r>
        <w:t xml:space="preserve">(Griffin-Pierce, 2000)</w:t>
      </w:r>
      <w:r>
        <w:t xml:space="preserve"> </w:t>
      </w:r>
      <w:r>
        <w:t xml:space="preserve">.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w:t>
      </w:r>
      <w:r>
        <w:t xml:space="preserve"> </w:t>
      </w:r>
      <w:r>
        <w:t xml:space="preserve"> </w:t>
      </w:r>
      <w:r>
        <w:t xml:space="preserve">The popularity of this suite of methods may reflect its importance as a skill in demand by employers in the Cultural Research Management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the more popular methods are those that are relevant to multiple elements of the archaeological record (e.g. Archaeobotany encompasses macroscopic and microscopic plant remains; Bioarchaeology may include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w:t>
      </w:r>
      <w:r>
        <w:t xml:space="preserve"> </w:t>
      </w:r>
      <w:r>
        <w:t xml:space="preserve"> </w:t>
      </w:r>
      <w:r>
        <w:t xml:space="preserve">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knowledge,human ecology, and ecological systems. Public archaeology is the second most frequent topic overall, which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r>
        <w:t xml:space="preserve"> </w:t>
      </w:r>
    </w:p>
    <w:p>
      <w:pPr>
        <w:pStyle w:val="BodyText"/>
      </w:pPr>
      <w:r>
        <w:t xml:space="preserve">In the years 2019-2020 and 2020-2021 there are striking changes in the popularity of topics in job ads. Indigenous and historical archaeology (which includes archaeology of the African diaspora and enslaved people</w:t>
      </w:r>
      <w:r>
        <w:t xml:space="preserve"> </w:t>
      </w:r>
      <w:r>
        <w:t xml:space="preserve">) became the most popular topic at this time, rising from being one of the least popular topics from 2012-2017. Conversely, archaeological science, which was popular during 2012-2017, was rarely mentioned in job ads during 2019-2021. Ancient Europe and the Mediterranean, which was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w:t>
      </w:r>
      <w:r>
        <w:t xml:space="preserve"> </w:t>
      </w:r>
      <w:r>
        <w:t xml:space="preserve">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co-occur.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w:t>
      </w:r>
      <w:r>
        <w:t xml:space="preserve"> </w:t>
      </w:r>
      <w:r>
        <w:t xml:space="preserve">.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to these jobs</w:t>
      </w:r>
      <w:r>
        <w:t xml:space="preserve"> </w:t>
      </w:r>
      <w:r>
        <w:t xml:space="preserve">. While these dynamics are familiar to scholars actively seeking faculty jobs,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explained by a variety of processes. Overall, we found more tenure-track jobs advertised each year than non-tenure-track, with the exception of 2013-14. This is at odds with previous work that has shown that contingent positions make up more than half of faculty positions</w:t>
      </w:r>
      <w:r>
        <w:t xml:space="preserve"> </w:t>
      </w:r>
      <w:r>
        <w:t xml:space="preserve">(Colby, 2022)</w:t>
      </w:r>
      <w:r>
        <w:t xml:space="preserve">.</w:t>
      </w:r>
      <w:r>
        <w:t xml:space="preserve"> </w:t>
      </w:r>
      <w:r>
        <w:rPr>
          <w:bCs/>
          <w:b/>
        </w:rPr>
        <w:t xml:space="preserve">MORE DETAIL HERE.</w:t>
      </w:r>
      <w:r>
        <w:t xml:space="preserve"> </w:t>
      </w:r>
      <w:r>
        <w:t xml:space="preserve"> </w:t>
      </w:r>
      <w:r>
        <w:t xml:space="preserve">This discrepancy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fields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r>
        <w:t xml:space="preserve"> </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topics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American Indian and Hispanic communities with significantly higher infection and morbidity rates, drawing attention to racial and socio-economic inequality in the US</w:t>
      </w:r>
      <w:r>
        <w:t xml:space="preserve"> </w:t>
      </w:r>
      <w:r>
        <w:t xml:space="preserve">(Mackey et al., 2021; Tai et al., 2021)</w:t>
      </w:r>
      <w:r>
        <w:t xml:space="preserve"> </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w:t>
      </w:r>
      <w:r>
        <w:t xml:space="preserve"> </w:t>
      </w:r>
      <w:r>
        <w:t xml:space="preserve">. Many universities may have hoped to hire Black and Indigenous archaeologists as part of their effort to tackle systemic racism. However as it is illegal in the US for universities use race or ethnicity as a primary factor in hiring (due to the 1964 Civil Rights Act which prohibits hiring based solely on race or ethnicity), universities appear to have tailored the content of their job ads to focus on topics where they expect Black and Indigenous researchers to be most numerous, in an effort to ensure that these researchers would be well-represented in the pool of applicants.</w:t>
      </w:r>
      <w:r>
        <w:t xml:space="preserve"> </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goegraphic foci of Mesoamerica and South America, and methods relating to landscape archaeology. These trends are harder to explain as we cannot link their origins to a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(Hodder, 1999; Johnson, 2019)</w:t>
      </w:r>
      <w:r>
        <w:t xml:space="preserve"> </w:t>
      </w:r>
      <w:r>
        <w:t xml:space="preserve">. This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w:t>
      </w:r>
      <w:r>
        <w:t xml:space="preserve"> </w:t>
      </w:r>
      <w:r>
        <w:t xml:space="preserve"> </w:t>
      </w:r>
      <w:r>
        <w:t xml:space="preserve">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which may have shifted attention away from the study of monumental architecture, elite societies, political hierarchies and state systems.</w:t>
      </w:r>
      <w:r>
        <w:t xml:space="preserve"> </w:t>
      </w:r>
    </w:p>
    <w:p>
      <w:pPr>
        <w:pStyle w:val="BodyText"/>
      </w:pPr>
      <w:r>
        <w:t xml:space="preserve">Our data on the requirements for applicants support prior findings that the complexity of applications—and concomitantly, the labor required to apply for a tenure-track job—has gradually increased over time. This trend is especially pronounced for Assistant Professor positions, which make more demands on applicants than Associate and Full Professor positions.</w:t>
      </w:r>
      <w:r>
        <w:t xml:space="preserve"> </w:t>
      </w:r>
      <w:r>
        <w:t xml:space="preserve">. Consistent with results from other studies [@HelloTristesTropes2021], our study documented a growing demand for research and teaching statements. Demand for diversity statements shows a unique trajectory, peaking in 2020-2021 and declining into the present. This may relate to the intersecting concerns emerging during the COVID-19 pandemic, which may have reached a peak in 2020-2021 and then declined over time, resulting in dropping requests for diversity statements, as the most urgent period of the pandemic moves into the past.</w:t>
      </w:r>
      <w:r>
        <w:t xml:space="preserve"> </w:t>
      </w:r>
      <w:r>
        <w:t xml:space="preserve">.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0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only from short-listed candidates</w:t>
      </w:r>
      <w:r>
        <w:t xml:space="preserve"> </w:t>
      </w:r>
      <w:r>
        <w:t xml:space="preserve">(Mallin, 2020)</w:t>
      </w:r>
      <w:r>
        <w:t xml:space="preserve"> </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universities. Our results do not show how these aspirations worked out in the topical and geographic foci of the people who were eventually hired for these positions . Future work should consider interviewing faculty hired during our study period to match up people to the ads they responded to. If the successful applicants can be identified, then the match between the details of the job ad and the applicant’s research can be analyzed. Then we can assess how effective the hiring process is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has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is that a graduate student who has invested in developing technical expertise in a method during their studies, in addition to a topic and region, might be less exposed to the whims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is consistent with prior findings, such</w:t>
      </w:r>
      <w:r>
        <w:t xml:space="preserve"> </w:t>
      </w:r>
      <w:r>
        <w:t xml:space="preserve">Wilk (1985)</w:t>
      </w:r>
      <w:r>
        <w:t xml:space="preserve">’s analysis of publications that found trends in explanations of Mayan collapse during the 1960s-1970s that correspond with major contemporary American political and social issues. This responsiveness to current events reveals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pPr>
        <w:pStyle w:val="FirstParagraph"/>
      </w:pPr>
      <w:r>
        <w:t xml:space="preserve">We thank NO ONE.</w:t>
      </w:r>
      <w:r>
        <w:t xml:space="preserve"> </w:t>
      </w:r>
    </w:p>
    <w:p>
      <w:r>
        <w:br w:type="page"/>
      </w:r>
    </w:p>
    <w:bookmarkEnd w:id="64"/>
    <w:bookmarkStart w:id="119" w:name="references"/>
    <w:p>
      <w:pPr>
        <w:pStyle w:val="Heading1"/>
      </w:pPr>
      <w:r>
        <w:t xml:space="preserve">References</w:t>
      </w:r>
    </w:p>
    <w:bookmarkStart w:id="117" w:name="refs"/>
    <w:bookmarkStart w:id="66" w:name="ref-bramiPrecariousFutureReflections2023"/>
    <w:p>
      <w:pPr>
        <w:pStyle w:val="Bibliography"/>
      </w:pPr>
      <w:r>
        <w:t xml:space="preserve">Brami, M., Emra, S., Muller, A., Preda-Bălănică, B., Irvine, B., Milić, B., Malagó, A., Meheux, K., Fernández-Götz, M., 2023. A Precarious Future: Reflections from a Survey of Early Career Researchers in Archaeology. European Journal of Archaeology 26, 226–250.</w:t>
      </w:r>
      <w:r>
        <w:t xml:space="preserve"> </w:t>
      </w:r>
      <w:hyperlink r:id="rId65">
        <w:r>
          <w:rPr>
            <w:rStyle w:val="Hyperlink"/>
          </w:rPr>
          <w:t xml:space="preserve">https://doi.org/10.1017/eaa.2022.41</w:t>
        </w:r>
      </w:hyperlink>
    </w:p>
    <w:bookmarkEnd w:id="66"/>
    <w:bookmarkStart w:id="67" w:name="ref-colby2022annual"/>
    <w:p>
      <w:pPr>
        <w:pStyle w:val="Bibliography"/>
      </w:pPr>
      <w:r>
        <w:t xml:space="preserve">Colby, G., 2022. The annual report on the economic status of the profession, 2021–22. Academe, Summer 74–111.</w:t>
      </w:r>
    </w:p>
    <w:bookmarkEnd w:id="67"/>
    <w:bookmarkStart w:id="69" w:name="ref-crambChangingProfileTenureTrack2022a"/>
    <w:p>
      <w:pPr>
        <w:pStyle w:val="Bibliography"/>
      </w:pPr>
      <w:r>
        <w:t xml:space="preserve">Cramb, J., Ritchison, B.T., Hadden, C.S., Zhang, Q., Alarcón-Tinajero, E., Chen, X., Jones, K.C., Jones, T., Napora, K., Veres, M., Thompson, V.D., 2022. 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 Advances in Archaeological Practice 10, 371–381.</w:t>
      </w:r>
      <w:r>
        <w:t xml:space="preserve"> </w:t>
      </w:r>
      <w:hyperlink r:id="rId68">
        <w:r>
          <w:rPr>
            <w:rStyle w:val="Hyperlink"/>
          </w:rPr>
          <w:t xml:space="preserve">https://doi.org/10.1017/aap.2022.8</w:t>
        </w:r>
      </w:hyperlink>
    </w:p>
    <w:bookmarkEnd w:id="69"/>
    <w:bookmarkStart w:id="71" w:name="ref-dennisWorstAnthroJob2022"/>
    <w:p>
      <w:pPr>
        <w:pStyle w:val="Bibliography"/>
      </w:pPr>
      <w:r>
        <w:t xml:space="preserve">Dennis, D., Docot, D., Gendron, D., Gershon, I., 2022. The</w:t>
      </w:r>
      <w:r>
        <w:t xml:space="preserve"> </w:t>
      </w:r>
      <w:r>
        <w:t xml:space="preserve">Worst</w:t>
      </w:r>
      <w:r>
        <w:t xml:space="preserve"> </w:t>
      </w:r>
      <w:r>
        <w:t xml:space="preserve">of</w:t>
      </w:r>
      <w:r>
        <w:t xml:space="preserve"> </w:t>
      </w:r>
      <w:r>
        <w:t xml:space="preserve">Anthro Job Ads</w:t>
      </w:r>
      <w:r>
        <w:t xml:space="preserve"> </w:t>
      </w:r>
      <w:r>
        <w:t xml:space="preserve">for 2021. American Anthropologist 124, 900–905.</w:t>
      </w:r>
      <w:r>
        <w:t xml:space="preserve"> </w:t>
      </w:r>
      <w:hyperlink r:id="rId70">
        <w:r>
          <w:rPr>
            <w:rStyle w:val="Hyperlink"/>
          </w:rPr>
          <w:t xml:space="preserve">https://doi.org/10.1111/aman.13781</w:t>
        </w:r>
      </w:hyperlink>
    </w:p>
    <w:bookmarkEnd w:id="71"/>
    <w:bookmarkStart w:id="73" w:name="ref-dunivinBlackLivesMatter2022"/>
    <w:p>
      <w:pPr>
        <w:pStyle w:val="Bibliography"/>
      </w:pPr>
      <w:r>
        <w:t xml:space="preserve">Dunivin, Z.O., Yan, H.Y., Ince, J., Rojas, F., 2022. Black lives matter protests shift public discourse. Proceedings of the National Academy of Sciences 119, e2117320119.</w:t>
      </w:r>
      <w:r>
        <w:t xml:space="preserve"> </w:t>
      </w:r>
      <w:hyperlink r:id="rId72">
        <w:r>
          <w:rPr>
            <w:rStyle w:val="Hyperlink"/>
          </w:rPr>
          <w:t xml:space="preserve">https://doi.org/10.1073/pnas.2117320119</w:t>
        </w:r>
      </w:hyperlink>
    </w:p>
    <w:bookmarkEnd w:id="73"/>
    <w:bookmarkStart w:id="75" w:name="X50d15868f2d8505c8a57296abe866e9e1e69b95"/>
    <w:p>
      <w:pPr>
        <w:pStyle w:val="Bibliography"/>
      </w:pPr>
      <w:r>
        <w:t xml:space="preserve">Flewellen, A.O., Dunnavant, J.P., Odewale, A., Jones, A., Wolde-Michael, T., Crossland, Z., Franklin, M., 2021.</w:t>
      </w:r>
      <w:r>
        <w:t xml:space="preserve"> </w:t>
      </w:r>
      <w:r>
        <w:t xml:space="preserve">“</w:t>
      </w:r>
      <w:r>
        <w:t xml:space="preserve">The Future of Archaeology Is Antiracist</w:t>
      </w:r>
      <w:r>
        <w:t xml:space="preserve">”</w:t>
      </w:r>
      <w:r>
        <w:t xml:space="preserve">: Archaeology in the Time of Black Lives Matter. American Antiquity 86, 224–243.</w:t>
      </w:r>
      <w:r>
        <w:t xml:space="preserve"> </w:t>
      </w:r>
      <w:hyperlink r:id="rId74">
        <w:r>
          <w:rPr>
            <w:rStyle w:val="Hyperlink"/>
          </w:rPr>
          <w:t xml:space="preserve">https://doi.org/10.1017/aaq.2021.18</w:t>
        </w:r>
      </w:hyperlink>
    </w:p>
    <w:bookmarkEnd w:id="75"/>
    <w:bookmarkStart w:id="77" w:name="ref-franklinFutureNowArchaeology2020"/>
    <w:p>
      <w:pPr>
        <w:pStyle w:val="Bibliography"/>
      </w:pPr>
      <w:r>
        <w:t xml:space="preserve">Franklin, M., Dunnavant, J.P., Flewellen, A.O., Odewale, A., 2020. The Future is Now: Archaeology and the Eradication of Anti-Blackness. International Journal of Historical Archaeology 24, 753–766.</w:t>
      </w:r>
      <w:r>
        <w:t xml:space="preserve"> </w:t>
      </w:r>
      <w:hyperlink r:id="rId76">
        <w:r>
          <w:rPr>
            <w:rStyle w:val="Hyperlink"/>
          </w:rPr>
          <w:t xml:space="preserve">https://doi.org/10.1007/s10761-020-00577-1</w:t>
        </w:r>
      </w:hyperlink>
    </w:p>
    <w:bookmarkEnd w:id="77"/>
    <w:bookmarkStart w:id="79" w:name="ref-HelloTristesTropes2021"/>
    <w:p>
      <w:pPr>
        <w:pStyle w:val="Bibliography"/>
      </w:pPr>
      <w:r>
        <w:t xml:space="preserve">Gershon, I., Rachok, D., 2021. Hello to</w:t>
      </w:r>
      <w:r>
        <w:t xml:space="preserve"> </w:t>
      </w:r>
      <w:r>
        <w:t xml:space="preserve">Tristes Tropes</w:t>
      </w:r>
      <w:r>
        <w:t xml:space="preserve"> </w:t>
      </w:r>
      <w:r>
        <w:t xml:space="preserve">[WWW Document]. URL</w:t>
      </w:r>
      <w:r>
        <w:t xml:space="preserve"> </w:t>
      </w:r>
      <w:hyperlink r:id="rId78">
        <w:r>
          <w:rPr>
            <w:rStyle w:val="Hyperlink"/>
          </w:rPr>
          <w:t xml:space="preserve">https://www.anthropology-news.org/articles/hello-to-tristes-tropes/</w:t>
        </w:r>
      </w:hyperlink>
      <w:r>
        <w:t xml:space="preserve"> </w:t>
      </w:r>
      <w:r>
        <w:t xml:space="preserve">(accessed 8.2.2022).</w:t>
      </w:r>
    </w:p>
    <w:bookmarkEnd w:id="79"/>
    <w:bookmarkStart w:id="81" w:name="ref-Ghaffarzadegan_2015"/>
    <w:p>
      <w:pPr>
        <w:pStyle w:val="Bibliography"/>
      </w:pPr>
      <w:r>
        <w:t xml:space="preserve">Ghaffarzadegan, N., Hawley, J., Larson, R., Xue, Y., 2015. A note on PhD population growth in biomedical sciences. Systems Research and Behavioral Science 32, 402–405.</w:t>
      </w:r>
      <w:r>
        <w:t xml:space="preserve"> </w:t>
      </w:r>
      <w:hyperlink r:id="rId80">
        <w:r>
          <w:rPr>
            <w:rStyle w:val="Hyperlink"/>
          </w:rPr>
          <w:t xml:space="preserve">https://doi.org/10.1002/sres.2324</w:t>
        </w:r>
      </w:hyperlink>
    </w:p>
    <w:bookmarkEnd w:id="81"/>
    <w:bookmarkStart w:id="82" w:name="ref-griffin2000native"/>
    <w:p>
      <w:pPr>
        <w:pStyle w:val="Bibliography"/>
      </w:pPr>
      <w:r>
        <w:t xml:space="preserve">Griffin-Pierce, T., 2000. Native peoples of the southwest. UNM Press.</w:t>
      </w:r>
    </w:p>
    <w:bookmarkEnd w:id="82"/>
    <w:bookmarkStart w:id="84" w:name="ref-guidenAreDiversityStatements"/>
    <w:p>
      <w:pPr>
        <w:pStyle w:val="Bibliography"/>
      </w:pPr>
      <w:r>
        <w:t xml:space="preserve">Guiden, M., 2024. 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 </w:t>
      </w:r>
      <w:r>
        <w:t xml:space="preserve">[WWW Document]. URL</w:t>
      </w:r>
      <w:r>
        <w:t xml:space="preserve"> </w:t>
      </w:r>
      <w:hyperlink r:id="rId83">
        <w:r>
          <w:rPr>
            <w:rStyle w:val="Hyperlink"/>
          </w:rPr>
          <w:t xml:space="preserve">https://www.higheredjobs.com/Articles/articleDisplay.cfm?ID=3948</w:t>
        </w:r>
      </w:hyperlink>
      <w:r>
        <w:t xml:space="preserve"> </w:t>
      </w:r>
      <w:r>
        <w:t xml:space="preserve">(accessed 11.1.2024).</w:t>
      </w:r>
    </w:p>
    <w:bookmarkEnd w:id="84"/>
    <w:bookmarkStart w:id="85" w:name="Xef0e7a127f6822546c3d4a669f6ff6206ffa76f"/>
    <w:p>
      <w:pPr>
        <w:pStyle w:val="Bibliography"/>
      </w:pPr>
      <w:r>
        <w:t xml:space="preserve">Hodder, I., 1999. The archaeological process: An introduction. Blackwell, Oxford.</w:t>
      </w:r>
    </w:p>
    <w:bookmarkEnd w:id="85"/>
    <w:bookmarkStart w:id="86" w:name="ref-johnson2019archaeological"/>
    <w:p>
      <w:pPr>
        <w:pStyle w:val="Bibliography"/>
      </w:pPr>
      <w:r>
        <w:t xml:space="preserve">Johnson, M., 2019. Archaeological theory: An introduction. John Wiley &amp; Sons.</w:t>
      </w:r>
    </w:p>
    <w:bookmarkEnd w:id="86"/>
    <w:bookmarkStart w:id="88" w:name="ref-kawaSocialNetworkUS2019"/>
    <w:p>
      <w:pPr>
        <w:pStyle w:val="Bibliography"/>
      </w:pPr>
      <w:r>
        <w:t xml:space="preserve">Kawa, N.C., Clavijo Michelangeli, J.A., Clark, J.L., Ginsberg, D., McCarty, C., 2019. 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 American Anthropologist 121, 14–29.</w:t>
      </w:r>
      <w:r>
        <w:t xml:space="preserve"> </w:t>
      </w:r>
      <w:hyperlink r:id="rId87">
        <w:r>
          <w:rPr>
            <w:rStyle w:val="Hyperlink"/>
          </w:rPr>
          <w:t xml:space="preserve">https://doi.org/10.1111/aman.13158</w:t>
        </w:r>
      </w:hyperlink>
    </w:p>
    <w:bookmarkEnd w:id="88"/>
    <w:bookmarkStart w:id="90" w:name="ref-lalukArchaeologySocialJustice2022"/>
    <w:p>
      <w:pPr>
        <w:pStyle w:val="Bibliography"/>
      </w:pPr>
      <w:r>
        <w:t xml:space="preserve">Laluk, N.C., Montgomery, L.M., Tsosie, R., McCleave, C., Miron, R., Carroll, S.R., Aguilar, J., Thompson, A.B.W., Nelson, P., Sunseri, J., Trujillo, I., DeAntoni, G.M., Castro, G., Schneider, T.D., 2022. Archaeology and Social Justice in Native America. American Antiquity 87, 659–682.</w:t>
      </w:r>
      <w:r>
        <w:t xml:space="preserve"> </w:t>
      </w:r>
      <w:hyperlink r:id="rId89">
        <w:r>
          <w:rPr>
            <w:rStyle w:val="Hyperlink"/>
          </w:rPr>
          <w:t xml:space="preserve">https://doi.org/10.1017/aaq.2022.59</w:t>
        </w:r>
      </w:hyperlink>
    </w:p>
    <w:bookmarkEnd w:id="90"/>
    <w:bookmarkStart w:id="91"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91"/>
    <w:bookmarkStart w:id="92" w:name="ref-lyman2010american"/>
    <w:p>
      <w:pPr>
        <w:pStyle w:val="Bibliography"/>
      </w:pPr>
      <w:r>
        <w:t xml:space="preserve">Lyman, R.L., 2010. American archaeology textbooks as reflections of the history of the discipline. North American Archaeologist 31, 1–25.</w:t>
      </w:r>
    </w:p>
    <w:bookmarkEnd w:id="92"/>
    <w:bookmarkStart w:id="94" w:name="ref-mackeyRacialEthnicDisparities2021"/>
    <w:p>
      <w:pPr>
        <w:pStyle w:val="Bibliography"/>
      </w:pPr>
      <w:r>
        <w:t xml:space="preserve">Mackey, K., Ayers, C.K., Kondo, K.K., Saha, S., Advani, S.M., Young, S., Spencer, H., Rusek, M., Anderson, J., Veazie, S., Smith, M., Kansagara, D., 2021. Racial and ethnic disparities in COVID-19</w:t>
      </w:r>
      <w:r>
        <w:t xml:space="preserve">related infections, hospitalizations, and deaths. Annals of Internal Medicine 174, 362–373.</w:t>
      </w:r>
      <w:r>
        <w:t xml:space="preserve"> </w:t>
      </w:r>
      <w:hyperlink r:id="rId93">
        <w:r>
          <w:rPr>
            <w:rStyle w:val="Hyperlink"/>
          </w:rPr>
          <w:t xml:space="preserve">https://doi.org/10.7326/M20-6306</w:t>
        </w:r>
      </w:hyperlink>
    </w:p>
    <w:bookmarkEnd w:id="94"/>
    <w:bookmarkStart w:id="96" w:name="ref-mackieMarketShareAccounting2023"/>
    <w:p>
      <w:pPr>
        <w:pStyle w:val="Bibliography"/>
      </w:pPr>
      <w:r>
        <w:t xml:space="preserve">Mackie, M.E., Rockwell, H., 2023. Beyond market share: Accounting for doctoral program size in recent rates of anthropology faculty job placement. PLOS ONE 18, e0285330.</w:t>
      </w:r>
      <w:r>
        <w:t xml:space="preserve"> </w:t>
      </w:r>
      <w:hyperlink r:id="rId95">
        <w:r>
          <w:rPr>
            <w:rStyle w:val="Hyperlink"/>
          </w:rPr>
          <w:t xml:space="preserve">https://doi.org/10.1371/journal.pone.0285330</w:t>
        </w:r>
      </w:hyperlink>
    </w:p>
    <w:bookmarkEnd w:id="96"/>
    <w:bookmarkStart w:id="98" w:name="ref-mallinLetsMakeAcademic2020"/>
    <w:p>
      <w:pPr>
        <w:pStyle w:val="Bibliography"/>
      </w:pPr>
      <w:r>
        <w:t xml:space="preserve">Mallin, S., 2020.</w:t>
      </w:r>
      <w:r>
        <w:t xml:space="preserve"> </w:t>
      </w:r>
      <w:hyperlink r:id="rId97">
        <w:r>
          <w:rPr>
            <w:rStyle w:val="Hyperlink"/>
          </w:rPr>
          <w:t xml:space="preserve">Let’s make the academic job market more humane</w:t>
        </w:r>
      </w:hyperlink>
      <w:r>
        <w:t xml:space="preserve">.</w:t>
      </w:r>
    </w:p>
    <w:bookmarkEnd w:id="98"/>
    <w:bookmarkStart w:id="100" w:name="ref-morganReadyNotArchaeological2023"/>
    <w:p>
      <w:pPr>
        <w:pStyle w:val="Bibliography"/>
      </w:pPr>
      <w:r>
        <w:t xml:space="preserve">Morgan, R., 2023. Ready or Not: An Archaeological Knowledge, Skills, and Abilities Needs Assessment. Advances in Archaeological Practice 11, 371–387.</w:t>
      </w:r>
      <w:r>
        <w:t xml:space="preserve"> </w:t>
      </w:r>
      <w:hyperlink r:id="rId99">
        <w:r>
          <w:rPr>
            <w:rStyle w:val="Hyperlink"/>
          </w:rPr>
          <w:t xml:space="preserve">https://doi.org/10.1017/aap.2023.21</w:t>
        </w:r>
      </w:hyperlink>
    </w:p>
    <w:bookmarkEnd w:id="100"/>
    <w:bookmarkStart w:id="101" w:name="ref-musial2018five"/>
    <w:p>
      <w:pPr>
        <w:pStyle w:val="Bibliography"/>
      </w:pPr>
      <w:r>
        <w:t xml:space="preserve">Musial, J., Holmes, C., 2018. Five-year study on hiring trends in gender, women’s, and feminist studies. Feminist Studies 44, 253–272.</w:t>
      </w:r>
    </w:p>
    <w:bookmarkEnd w:id="101"/>
    <w:bookmarkStart w:id="103" w:name="ref-Passalacqua_2018"/>
    <w:p>
      <w:pPr>
        <w:pStyle w:val="Bibliography"/>
      </w:pPr>
      <w:r>
        <w:t xml:space="preserve">Passalacqua, N.V., 2018. Are careers in biological anthropology sustainable? American Journal of Physical Anthropology 166, 772–776.</w:t>
      </w:r>
      <w:r>
        <w:t xml:space="preserve"> </w:t>
      </w:r>
      <w:hyperlink r:id="rId102">
        <w:r>
          <w:rPr>
            <w:rStyle w:val="Hyperlink"/>
          </w:rPr>
          <w:t xml:space="preserve">https://doi.org/10.1002/ajpa.23457</w:t>
        </w:r>
      </w:hyperlink>
    </w:p>
    <w:bookmarkEnd w:id="103"/>
    <w:bookmarkStart w:id="105" w:name="ref-platzerAcademicPrecarityAmerican2018"/>
    <w:p>
      <w:pPr>
        <w:pStyle w:val="Bibliography"/>
      </w:pPr>
      <w:r>
        <w:t xml:space="preserve">Platzer, D., Allison, A., 2018. Academic</w:t>
      </w:r>
      <w:r>
        <w:t xml:space="preserve"> </w:t>
      </w:r>
      <w:r>
        <w:t xml:space="preserve">Precarity</w:t>
      </w:r>
      <w:r>
        <w:t xml:space="preserve"> </w:t>
      </w:r>
      <w:r>
        <w:t xml:space="preserve">in</w:t>
      </w:r>
      <w:r>
        <w:t xml:space="preserve"> </w:t>
      </w:r>
      <w:r>
        <w:t xml:space="preserve">American Anthropology</w:t>
      </w:r>
      <w:r>
        <w:t xml:space="preserve"> </w:t>
      </w:r>
      <w:r>
        <w:t xml:space="preserve">[WWW Document]. URL</w:t>
      </w:r>
      <w:r>
        <w:t xml:space="preserve"> </w:t>
      </w:r>
      <w:hyperlink r:id="rId104">
        <w:r>
          <w:rPr>
            <w:rStyle w:val="Hyperlink"/>
          </w:rPr>
          <w:t xml:space="preserve">https://culanth.org/fieldsights/academic-precarity-in-american-anthropology</w:t>
        </w:r>
      </w:hyperlink>
      <w:r>
        <w:t xml:space="preserve"> </w:t>
      </w:r>
      <w:r>
        <w:t xml:space="preserve">(accessed 10.31.2024).</w:t>
      </w:r>
    </w:p>
    <w:bookmarkEnd w:id="105"/>
    <w:bookmarkStart w:id="106" w:name="ref-soucek2021diversity"/>
    <w:p>
      <w:pPr>
        <w:pStyle w:val="Bibliography"/>
      </w:pPr>
      <w:r>
        <w:t xml:space="preserve">Soucek, B., 2021. Diversity statements. UC Davis L. Rev. 55, 1989.</w:t>
      </w:r>
    </w:p>
    <w:bookmarkEnd w:id="106"/>
    <w:bookmarkStart w:id="107" w:name="ref-speakman2018choosing"/>
    <w:p>
      <w:pPr>
        <w:pStyle w:val="Bibliography"/>
      </w:pPr>
      <w:r>
        <w:t xml:space="preserve">Speakman, R.J., Hadden, C.S., Colvin, M.H., Cramb, J., Jones, K., Jones, T.W., Kling, C.L., Lulewicz, I., Napora, K.G., Reinberger, K.L., others, 2018. Choosing a path to the ancient world in a modern market: The reality of faculty jobs in archaeology. American Antiquity 83, 1–12.</w:t>
      </w:r>
    </w:p>
    <w:bookmarkEnd w:id="107"/>
    <w:bookmarkStart w:id="109" w:name="ref-taiDisproportionateImpactCOVID192021"/>
    <w:p>
      <w:pPr>
        <w:pStyle w:val="Bibliography"/>
      </w:pPr>
      <w:r>
        <w:t xml:space="preserve">Tai, D.B.G., Shah, A., Doubeni, C.A., Sia, I.G., Wieland, M.L., 2021. The disproportionate impact of COVID-19 on racial and ethnic minorities in the united states. Clinical Infectious Diseases 72, 703–706.</w:t>
      </w:r>
      <w:r>
        <w:t xml:space="preserve"> </w:t>
      </w:r>
      <w:hyperlink r:id="rId108">
        <w:r>
          <w:rPr>
            <w:rStyle w:val="Hyperlink"/>
          </w:rPr>
          <w:t xml:space="preserve">https://doi.org/10.1093/cid/ciaa815</w:t>
        </w:r>
      </w:hyperlink>
    </w:p>
    <w:bookmarkEnd w:id="109"/>
    <w:bookmarkStart w:id="111" w:name="ref-Trevithick2010"/>
    <w:p>
      <w:pPr>
        <w:pStyle w:val="Bibliography"/>
      </w:pPr>
      <w:r>
        <w:t xml:space="preserve">Trevithick, A., 2010. Anthropology and the new faculty majority:</w:t>
      </w:r>
      <w:r>
        <w:t xml:space="preserve"> </w:t>
      </w:r>
      <w:r>
        <w:t xml:space="preserve">Adjunct</w:t>
      </w:r>
      <w:r>
        <w:t xml:space="preserve"> </w:t>
      </w:r>
      <w:r>
        <w:t xml:space="preserve">and contingent labor. Anthropology News 51, 4–4.</w:t>
      </w:r>
      <w:r>
        <w:t xml:space="preserve"> </w:t>
      </w:r>
      <w:hyperlink r:id="rId110">
        <w:r>
          <w:rPr>
            <w:rStyle w:val="Hyperlink"/>
          </w:rPr>
          <w:t xml:space="preserve">https://doi.org/10.1111/j.1556-3502.2010.51904.x</w:t>
        </w:r>
      </w:hyperlink>
    </w:p>
    <w:bookmarkEnd w:id="111"/>
    <w:bookmarkStart w:id="113" w:name="Xcd31d39e5e719de1751c56e4e26f4a425729374"/>
    <w:p>
      <w:pPr>
        <w:pStyle w:val="Bibliography"/>
      </w:pPr>
      <w:r>
        <w:t xml:space="preserve">Wapman, K.H., Zhang, S., Clauset, A., Larremore, D.B., 2022. Quantifying hierarchy and dynamics in</w:t>
      </w:r>
      <w:r>
        <w:t xml:space="preserve"> </w:t>
      </w:r>
      <w:r>
        <w:t xml:space="preserve">US</w:t>
      </w:r>
      <w:r>
        <w:t xml:space="preserve"> </w:t>
      </w:r>
      <w:r>
        <w:t xml:space="preserve">faculty hiring and retention. Nature 610, 120–127.</w:t>
      </w:r>
      <w:r>
        <w:t xml:space="preserve"> </w:t>
      </w:r>
      <w:hyperlink r:id="rId112">
        <w:r>
          <w:rPr>
            <w:rStyle w:val="Hyperlink"/>
          </w:rPr>
          <w:t xml:space="preserve">https://doi.org/10.1038/s41586-022-05222-x</w:t>
        </w:r>
      </w:hyperlink>
    </w:p>
    <w:bookmarkEnd w:id="113"/>
    <w:bookmarkStart w:id="114" w:name="ref-wilk1985ancient"/>
    <w:p>
      <w:pPr>
        <w:pStyle w:val="Bibliography"/>
      </w:pPr>
      <w:r>
        <w:t xml:space="preserve">Wilk, R.R., 1985. The ancient maya and the political present. Journal of anthropological research 41, 307–326.</w:t>
      </w:r>
    </w:p>
    <w:bookmarkEnd w:id="114"/>
    <w:bookmarkStart w:id="116" w:name="ref-woolstonJuniorResearchersHit2020"/>
    <w:p>
      <w:pPr>
        <w:pStyle w:val="Bibliography"/>
      </w:pPr>
      <w:r>
        <w:t xml:space="preserve">Woolston, C., 2020. Junior researchers hit by coronavirus-triggered hiring freezes. Nature 582, 449–450.</w:t>
      </w:r>
      <w:r>
        <w:t xml:space="preserve"> </w:t>
      </w:r>
      <w:hyperlink r:id="rId115">
        <w:r>
          <w:rPr>
            <w:rStyle w:val="Hyperlink"/>
          </w:rPr>
          <w:t xml:space="preserve">https://doi.org/10.1038/d41586-020-01656-3</w:t>
        </w:r>
      </w:hyperlink>
    </w:p>
    <w:bookmarkEnd w:id="116"/>
    <w:bookmarkEnd w:id="117"/>
    <w:p>
      <w:r>
        <w:br w:type="page"/>
      </w:r>
    </w:p>
    <w:bookmarkStart w:id="118" w:name="colophon"/>
    <w:p>
      <w:pPr>
        <w:pStyle w:val="Heading3"/>
      </w:pPr>
      <w:r>
        <w:t xml:space="preserve">Colophon</w:t>
      </w:r>
    </w:p>
    <w:p>
      <w:pPr>
        <w:pStyle w:val="FirstParagraph"/>
      </w:pPr>
      <w:r>
        <w:t xml:space="preserve">This report was generated on 2025-01-11 16:59:46.568382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2025-01-11</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archive        1.1.10   2024-11-08 [1] CRAN (R 4.4.1)</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2024-09-17 [1] Github (wmurphyrd/fiftystater@28e7fa5)</w:t>
      </w:r>
      <w:r>
        <w:br/>
      </w:r>
      <w:r>
        <w:rPr>
          <w:rStyle w:val="VerbatimChar"/>
        </w:rPr>
        <w:t xml:space="preserve"> forcats      * 1.0.0    2023-01-29 [1] CRAN (R 4.4.0)</w:t>
      </w:r>
      <w:r>
        <w:br/>
      </w:r>
      <w:r>
        <w:rPr>
          <w:rStyle w:val="VerbatimChar"/>
        </w:rPr>
        <w:t xml:space="preserve"> fs             1.6.5    2024-10-30 [1] CRAN (R 4.4.1)</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0.3.6    2024-10-25 [1] CRAN (R 4.4.1)</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1.49     2024-11-08 [1] CRAN (R 4.4.1)</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3.4.2.1  2024-11-10 [1] CRAN (R 4.4.1)</w:t>
      </w:r>
      <w:r>
        <w:br/>
      </w:r>
      <w:r>
        <w:rPr>
          <w:rStyle w:val="VerbatimChar"/>
        </w:rPr>
        <w:t xml:space="preserve"> Matrix         1.7-1    2024-10-18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4.4.1)</w:t>
      </w:r>
      <w:r>
        <w:br/>
      </w:r>
      <w:r>
        <w:rPr>
          <w:rStyle w:val="VerbatimChar"/>
        </w:rPr>
        <w:t xml:space="preserve"> pillar         1.9.0    2023-03-22 [1] CRAN (R 4.4.0)</w:t>
      </w:r>
      <w:r>
        <w:br/>
      </w:r>
      <w:r>
        <w:rPr>
          <w:rStyle w:val="VerbatimChar"/>
        </w:rPr>
        <w:t xml:space="preserve"> pkgbuild       1.4.5    2024-10-28 [1] CRAN (R 4.4.1)</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png            0.1-8    2022-11-29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1.0.13-1 2024-11-02 [1] CRAN (R 4.4.1)</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2.29     2024-11-04 [1] CRAN (R 4.4.1)</w:t>
      </w:r>
      <w:r>
        <w:br/>
      </w:r>
      <w:r>
        <w:rPr>
          <w:rStyle w:val="VerbatimChar"/>
        </w:rPr>
        <w:t xml:space="preserve"> rprojroot      2.0.4    2023-11-05 [1] CRAN (R 4.4.0)</w:t>
      </w:r>
      <w:r>
        <w:br/>
      </w:r>
      <w:r>
        <w:rPr>
          <w:rStyle w:val="VerbatimChar"/>
        </w:rPr>
        <w:t xml:space="preserve"> rstudioapi     0.17.1   2024-10-22 [1] CRAN (R 4.4.1)</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3.0.2    2024-10-28 [1] CRAN (R 4.4.1)</w:t>
      </w:r>
      <w:r>
        <w:br/>
      </w:r>
      <w:r>
        <w:rPr>
          <w:rStyle w:val="VerbatimChar"/>
        </w:rPr>
        <w:t xml:space="preserve"> xfun           0.49     2024-10-31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/Library/Frameworks/R.framework/Versions/4.4-x86_64/Resources/library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[58c8279] 2025-01-10: Minor formatting edits.</w:t>
      </w:r>
    </w:p>
    <w:bookmarkEnd w:id="118"/>
    <w:bookmarkEnd w:id="11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104" Target="https://culanth.org/fieldsights/academic-precarity-in-american-anthropology" TargetMode="External" /><Relationship Type="http://schemas.openxmlformats.org/officeDocument/2006/relationships/hyperlink" Id="rId102" Target="https://doi.org/10.1002/ajpa.23457" TargetMode="External" /><Relationship Type="http://schemas.openxmlformats.org/officeDocument/2006/relationships/hyperlink" Id="rId80" Target="https://doi.org/10.1002/sres.2324" TargetMode="External" /><Relationship Type="http://schemas.openxmlformats.org/officeDocument/2006/relationships/hyperlink" Id="rId76" Target="https://doi.org/10.1007/s10761-020-00577-1" TargetMode="External" /><Relationship Type="http://schemas.openxmlformats.org/officeDocument/2006/relationships/hyperlink" Id="rId68" Target="https://doi.org/10.1017/aap.2022.8" TargetMode="External" /><Relationship Type="http://schemas.openxmlformats.org/officeDocument/2006/relationships/hyperlink" Id="rId99" Target="https://doi.org/10.1017/aap.2023.21" TargetMode="External" /><Relationship Type="http://schemas.openxmlformats.org/officeDocument/2006/relationships/hyperlink" Id="rId74" Target="https://doi.org/10.1017/aaq.2021.18" TargetMode="External" /><Relationship Type="http://schemas.openxmlformats.org/officeDocument/2006/relationships/hyperlink" Id="rId89" Target="https://doi.org/10.1017/aaq.2022.59" TargetMode="External" /><Relationship Type="http://schemas.openxmlformats.org/officeDocument/2006/relationships/hyperlink" Id="rId65" Target="https://doi.org/10.1017/eaa.2022.41" TargetMode="External" /><Relationship Type="http://schemas.openxmlformats.org/officeDocument/2006/relationships/hyperlink" Id="rId115" Target="https://doi.org/10.1038/d41586-020-01656-3" TargetMode="External" /><Relationship Type="http://schemas.openxmlformats.org/officeDocument/2006/relationships/hyperlink" Id="rId112" Target="https://doi.org/10.1038/s41586-022-05222-x" TargetMode="External" /><Relationship Type="http://schemas.openxmlformats.org/officeDocument/2006/relationships/hyperlink" Id="rId72" Target="https://doi.org/10.1073/pnas.2117320119" TargetMode="External" /><Relationship Type="http://schemas.openxmlformats.org/officeDocument/2006/relationships/hyperlink" Id="rId108" Target="https://doi.org/10.1093/cid/ciaa815" TargetMode="External" /><Relationship Type="http://schemas.openxmlformats.org/officeDocument/2006/relationships/hyperlink" Id="rId87" Target="https://doi.org/10.1111/aman.13158" TargetMode="External" /><Relationship Type="http://schemas.openxmlformats.org/officeDocument/2006/relationships/hyperlink" Id="rId70" Target="https://doi.org/10.1111/aman.13781" TargetMode="External" /><Relationship Type="http://schemas.openxmlformats.org/officeDocument/2006/relationships/hyperlink" Id="rId110" Target="https://doi.org/10.1111/j.1556-3502.2010.51904.x" TargetMode="External" /><Relationship Type="http://schemas.openxmlformats.org/officeDocument/2006/relationships/hyperlink" Id="rId95" Target="https://doi.org/10.1371/journal.pone.0285330" TargetMode="External" /><Relationship Type="http://schemas.openxmlformats.org/officeDocument/2006/relationships/hyperlink" Id="rId93" Target="https://doi.org/10.7326/M20-6306" TargetMode="External" /><Relationship Type="http://schemas.openxmlformats.org/officeDocument/2006/relationships/hyperlink" Id="rId78" Target="https://www.anthropology-news.org/articles/hello-to-tristes-tropes/" TargetMode="External" /><Relationship Type="http://schemas.openxmlformats.org/officeDocument/2006/relationships/hyperlink" Id="rId97" Target="https://www.anthropology-news.org/articles/lets-make-the-academic-job-market-more-humane/" TargetMode="External" /><Relationship Type="http://schemas.openxmlformats.org/officeDocument/2006/relationships/hyperlink" Id="rId83"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04" Target="https://culanth.org/fieldsights/academic-precarity-in-american-anthropology" TargetMode="External" /><Relationship Type="http://schemas.openxmlformats.org/officeDocument/2006/relationships/hyperlink" Id="rId102" Target="https://doi.org/10.1002/ajpa.23457" TargetMode="External" /><Relationship Type="http://schemas.openxmlformats.org/officeDocument/2006/relationships/hyperlink" Id="rId80" Target="https://doi.org/10.1002/sres.2324" TargetMode="External" /><Relationship Type="http://schemas.openxmlformats.org/officeDocument/2006/relationships/hyperlink" Id="rId76" Target="https://doi.org/10.1007/s10761-020-00577-1" TargetMode="External" /><Relationship Type="http://schemas.openxmlformats.org/officeDocument/2006/relationships/hyperlink" Id="rId68" Target="https://doi.org/10.1017/aap.2022.8" TargetMode="External" /><Relationship Type="http://schemas.openxmlformats.org/officeDocument/2006/relationships/hyperlink" Id="rId99" Target="https://doi.org/10.1017/aap.2023.21" TargetMode="External" /><Relationship Type="http://schemas.openxmlformats.org/officeDocument/2006/relationships/hyperlink" Id="rId74" Target="https://doi.org/10.1017/aaq.2021.18" TargetMode="External" /><Relationship Type="http://schemas.openxmlformats.org/officeDocument/2006/relationships/hyperlink" Id="rId89" Target="https://doi.org/10.1017/aaq.2022.59" TargetMode="External" /><Relationship Type="http://schemas.openxmlformats.org/officeDocument/2006/relationships/hyperlink" Id="rId65" Target="https://doi.org/10.1017/eaa.2022.41" TargetMode="External" /><Relationship Type="http://schemas.openxmlformats.org/officeDocument/2006/relationships/hyperlink" Id="rId115" Target="https://doi.org/10.1038/d41586-020-01656-3" TargetMode="External" /><Relationship Type="http://schemas.openxmlformats.org/officeDocument/2006/relationships/hyperlink" Id="rId112" Target="https://doi.org/10.1038/s41586-022-05222-x" TargetMode="External" /><Relationship Type="http://schemas.openxmlformats.org/officeDocument/2006/relationships/hyperlink" Id="rId72" Target="https://doi.org/10.1073/pnas.2117320119" TargetMode="External" /><Relationship Type="http://schemas.openxmlformats.org/officeDocument/2006/relationships/hyperlink" Id="rId108" Target="https://doi.org/10.1093/cid/ciaa815" TargetMode="External" /><Relationship Type="http://schemas.openxmlformats.org/officeDocument/2006/relationships/hyperlink" Id="rId87" Target="https://doi.org/10.1111/aman.13158" TargetMode="External" /><Relationship Type="http://schemas.openxmlformats.org/officeDocument/2006/relationships/hyperlink" Id="rId70" Target="https://doi.org/10.1111/aman.13781" TargetMode="External" /><Relationship Type="http://schemas.openxmlformats.org/officeDocument/2006/relationships/hyperlink" Id="rId110" Target="https://doi.org/10.1111/j.1556-3502.2010.51904.x" TargetMode="External" /><Relationship Type="http://schemas.openxmlformats.org/officeDocument/2006/relationships/hyperlink" Id="rId95" Target="https://doi.org/10.1371/journal.pone.0285330" TargetMode="External" /><Relationship Type="http://schemas.openxmlformats.org/officeDocument/2006/relationships/hyperlink" Id="rId93" Target="https://doi.org/10.7326/M20-6306" TargetMode="External" /><Relationship Type="http://schemas.openxmlformats.org/officeDocument/2006/relationships/hyperlink" Id="rId78" Target="https://www.anthropology-news.org/articles/hello-to-tristes-tropes/" TargetMode="External" /><Relationship Type="http://schemas.openxmlformats.org/officeDocument/2006/relationships/hyperlink" Id="rId97" Target="https://www.anthropology-news.org/articles/lets-make-the-academic-job-market-more-humane/" TargetMode="External" /><Relationship Type="http://schemas.openxmlformats.org/officeDocument/2006/relationships/hyperlink" Id="rId83"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2025-01-12T00:59:52Z</dcterms:created>
  <dcterms:modified xsi:type="dcterms:W3CDTF">2025-01-12T00:59:52Z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landing an academic career.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have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January 11,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